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Files\\HCRC_2009_03_Consensus Document DRAFT - § 2 references coded [ 0.65% Coverage]</w:t>
      </w:r>
    </w:p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Reference 1 - 0.16% Coverage</w:t>
      </w:r>
    </w:p>
    <w:p>
      <w:pPr>
        <w:pStyle w:val="TextBody"/>
        <w:bidi w:val="0"/>
        <w:spacing w:before="0" w:after="0"/>
        <w:jc w:val="left"/>
        <w:rPr/>
      </w:pPr>
      <w:r>
        <w:rPr/>
        <w:t>THE PURPOSE OF the Harney County Restoration Collaborative is to achieve an integrated ‘three-legs-of-the-stool’2 solution to the multi-faceted forest and community health problem facing Harney County.</w:t>
      </w:r>
    </w:p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Reference 2 - 0.49% Coverage</w:t>
      </w:r>
    </w:p>
    <w:p>
      <w:pPr>
        <w:pStyle w:val="TextBody"/>
        <w:bidi w:val="0"/>
        <w:spacing w:before="0" w:after="0"/>
        <w:jc w:val="left"/>
        <w:rPr/>
      </w:pPr>
      <w:r>
        <w:rPr/>
        <w:t xml:space="preserve">Healthy, functioning ecosystems provide the best opportunity for a resilient forest • Healthy, functioning ecosystems provide the best opportunity for healthy local economies </w:t>
        <w:br/>
        <w:t xml:space="preserve">• Healthy, functioning economies provide the best opportunity for healthy local ecosystems </w:t>
        <w:br/>
        <w:t xml:space="preserve">• Ecosystem management and local collaboration requires adaptive management grounded in o ecosystem science, o diverse local, regional, and national values, practice, o political and economic realities, and o local ground-truthing of local, site-specific ecological conditions </w:t>
        <w:br/>
        <w:t>• Industry should be scaled appropriately to match sustainable supply over a 20year period.</w:t>
      </w:r>
    </w:p>
    <w:sectPr>
      <w:type w:val="nextPage"/>
      <w:pgSz w:w="12240" w:h="15840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SimSun" w:cs="Lucida 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